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5D1241B7" w14:textId="77777777" w:rsidTr="0041512A">
        <w:tc>
          <w:tcPr>
            <w:tcW w:w="2263" w:type="dxa"/>
          </w:tcPr>
          <w:p w14:paraId="5D6C5581" w14:textId="57034B0F" w:rsidR="0041512A" w:rsidRDefault="00ED76DF" w:rsidP="0041512A">
            <w:pPr>
              <w:spacing w:before="120" w:after="120"/>
            </w:pPr>
            <w:r>
              <w:fldChar w:fldCharType="begin"/>
            </w:r>
            <w:r>
              <w:instrText xml:space="preserve"> HYPERLINK "../PROCEDIMENTI.docx" </w:instrText>
            </w:r>
            <w:r>
              <w:fldChar w:fldCharType="separate"/>
            </w:r>
            <w:r w:rsidR="004442C5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20190DFB" w14:textId="77777777" w:rsidR="0041512A" w:rsidRDefault="006A3E4F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Vendita </w:t>
            </w:r>
            <w:r w:rsidR="00BB2159">
              <w:rPr>
                <w:b/>
                <w:color w:val="006600"/>
                <w:sz w:val="40"/>
                <w:szCs w:val="40"/>
                <w:u w:val="none"/>
              </w:rPr>
              <w:t>esplosivi</w:t>
            </w:r>
          </w:p>
        </w:tc>
        <w:tc>
          <w:tcPr>
            <w:tcW w:w="1979" w:type="dxa"/>
          </w:tcPr>
          <w:p w14:paraId="7C3A2109" w14:textId="7ED740C8" w:rsidR="0041512A" w:rsidRPr="0041512A" w:rsidRDefault="00ED76DF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212261A9" w14:textId="77777777" w:rsidTr="0041512A">
        <w:tc>
          <w:tcPr>
            <w:tcW w:w="9629" w:type="dxa"/>
            <w:gridSpan w:val="3"/>
          </w:tcPr>
          <w:p w14:paraId="206FF59B" w14:textId="470304BE" w:rsidR="00F33A15" w:rsidRPr="000F715A" w:rsidRDefault="00CB1B7A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022DF2E9" w14:textId="7488DBCC" w:rsidR="00BB2159" w:rsidRPr="00BB2159" w:rsidRDefault="00BB2159" w:rsidP="00BB2159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BB2159">
              <w:rPr>
                <w:rFonts w:ascii="Arial,Bold" w:hAnsi="Arial,Bold" w:cs="Arial,Bold"/>
                <w:b/>
                <w:bCs/>
                <w:color w:val="FF0000"/>
                <w:sz w:val="20"/>
                <w:szCs w:val="20"/>
                <w:u w:val="none"/>
              </w:rPr>
              <w:t>La vendita di esplosivi</w:t>
            </w:r>
            <w:r w:rsidRPr="00BB2159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, </w:t>
            </w:r>
            <w:r w:rsidRPr="00BB2159">
              <w:rPr>
                <w:color w:val="000000"/>
                <w:sz w:val="20"/>
                <w:szCs w:val="20"/>
                <w:u w:val="none"/>
              </w:rPr>
              <w:t xml:space="preserve">oltre alle disposizioni afferenti </w:t>
            </w:r>
            <w:r w:rsidR="004442C5" w:rsidRPr="00BB2159">
              <w:rPr>
                <w:color w:val="000000"/>
                <w:sz w:val="20"/>
                <w:szCs w:val="20"/>
                <w:u w:val="none"/>
              </w:rPr>
              <w:t>alla</w:t>
            </w:r>
            <w:r w:rsidRPr="00BB2159">
              <w:rPr>
                <w:color w:val="000000"/>
                <w:sz w:val="20"/>
                <w:szCs w:val="20"/>
                <w:u w:val="none"/>
              </w:rPr>
              <w:t xml:space="preserve"> disciplina della vendita al dettaglio in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BB2159">
              <w:rPr>
                <w:color w:val="000000"/>
                <w:sz w:val="20"/>
                <w:szCs w:val="20"/>
                <w:u w:val="none"/>
              </w:rPr>
              <w:t>qualunque modo esercitata, è soggetta alle disposizioni speciali contenute nel Testo Unico Leggi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BB2159">
              <w:rPr>
                <w:color w:val="000000"/>
                <w:sz w:val="20"/>
                <w:szCs w:val="20"/>
                <w:u w:val="none"/>
              </w:rPr>
              <w:t>Pubblica Sicurezza (TULPS) di cui si richiamano i seguenti aspetti:</w:t>
            </w:r>
          </w:p>
          <w:p w14:paraId="37CC7F94" w14:textId="77777777" w:rsidR="00BB2159" w:rsidRPr="00BB2159" w:rsidRDefault="00BB2159" w:rsidP="00BB2159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  <w:r w:rsidRPr="00BB2159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Senza licenza del Ministro dell'interno è vietato vendere dinamite e prodotti affini negli effetti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 xml:space="preserve"> </w:t>
            </w:r>
            <w:r w:rsidRPr="00BB2159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esplosivi, fulminati, picrati, artifici contenenti miscele detonanti, ovvero elementi solidi e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 xml:space="preserve"> </w:t>
            </w:r>
            <w:r w:rsidRPr="00BB2159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liquidi destinati alla composizione di esplosivi nel momento dell'impiego.</w:t>
            </w:r>
          </w:p>
          <w:p w14:paraId="3B472DAE" w14:textId="77777777" w:rsidR="00BB2159" w:rsidRPr="00BB2159" w:rsidRDefault="00BB2159" w:rsidP="00BB2159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  <w:r w:rsidRPr="00BB2159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Senza licenza del Prefetto è vietato vendere polveri piriche o qualsiasi altro esplosivo diverso</w:t>
            </w:r>
          </w:p>
          <w:p w14:paraId="34B03FAF" w14:textId="77777777" w:rsidR="00BB2159" w:rsidRPr="00BB2159" w:rsidRDefault="00BB2159" w:rsidP="00BB2159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</w:pPr>
            <w:r w:rsidRPr="00BB2159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da quelli indicati nel punto precedente, compresi i fuochi artificiali e i prodotti affini, ovvero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 xml:space="preserve"> </w:t>
            </w:r>
            <w:r w:rsidRPr="00BB2159">
              <w:rPr>
                <w:rFonts w:ascii="Arial,BoldItalic" w:hAnsi="Arial,BoldItalic" w:cs="Arial,BoldItalic"/>
                <w:b/>
                <w:bCs/>
                <w:i/>
                <w:iCs/>
                <w:color w:val="000000"/>
                <w:sz w:val="20"/>
                <w:szCs w:val="20"/>
                <w:u w:val="none"/>
              </w:rPr>
              <w:t>materie e sostanze atte alla composizione o fabbricazione di prodotti esplodenti.</w:t>
            </w:r>
          </w:p>
          <w:p w14:paraId="6887DD63" w14:textId="77777777" w:rsidR="000E4B7E" w:rsidRPr="00BB2159" w:rsidRDefault="00BB2159" w:rsidP="00BB2159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sz w:val="20"/>
                <w:szCs w:val="20"/>
                <w:u w:val="none"/>
              </w:rPr>
            </w:pPr>
            <w:r w:rsidRPr="00BB2159">
              <w:rPr>
                <w:rFonts w:ascii="Arial,BoldItalic" w:hAnsi="Arial,BoldItalic" w:cs="Arial,BoldItalic"/>
                <w:b/>
                <w:bCs/>
                <w:i/>
                <w:iCs/>
                <w:color w:val="FF0000"/>
                <w:sz w:val="20"/>
                <w:szCs w:val="20"/>
                <w:u w:val="none"/>
              </w:rPr>
              <w:t>È vietato senza licenza del Prefetto, vendere polveri senza fumo a base di nitrocellulosa o</w:t>
            </w:r>
            <w:r>
              <w:rPr>
                <w:rFonts w:ascii="Arial,BoldItalic" w:hAnsi="Arial,BoldItalic" w:cs="Arial,BoldItalic"/>
                <w:b/>
                <w:bCs/>
                <w:i/>
                <w:iCs/>
                <w:color w:val="FF0000"/>
                <w:sz w:val="20"/>
                <w:szCs w:val="20"/>
                <w:u w:val="none"/>
              </w:rPr>
              <w:t xml:space="preserve"> </w:t>
            </w:r>
            <w:r w:rsidRPr="00BB2159">
              <w:rPr>
                <w:rFonts w:ascii="Arial,BoldItalic" w:hAnsi="Arial,BoldItalic" w:cs="Arial,BoldItalic"/>
                <w:b/>
                <w:bCs/>
                <w:i/>
                <w:iCs/>
                <w:color w:val="FF0000"/>
                <w:sz w:val="20"/>
                <w:szCs w:val="20"/>
                <w:u w:val="none"/>
              </w:rPr>
              <w:t>nitroglicerina.</w:t>
            </w:r>
          </w:p>
          <w:p w14:paraId="18B6ADC9" w14:textId="77777777" w:rsidR="00D1173A" w:rsidRPr="00D1173A" w:rsidRDefault="00D1173A" w:rsidP="00D1173A">
            <w:pPr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0"/>
                <w:szCs w:val="20"/>
                <w:u w:val="none"/>
                <w:lang w:eastAsia="it-IT"/>
              </w:rPr>
            </w:pPr>
            <w:r w:rsidRPr="00D1173A">
              <w:rPr>
                <w:rFonts w:eastAsia="Times New Roman"/>
                <w:b/>
                <w:bCs/>
                <w:i/>
                <w:iCs/>
                <w:color w:val="FF0000"/>
                <w:sz w:val="20"/>
                <w:szCs w:val="20"/>
                <w:u w:val="none"/>
                <w:lang w:eastAsia="it-IT"/>
              </w:rPr>
              <w:t>È vietata la vendita di esplosivi nell'esercizio del commercio su aree pubbliche.</w:t>
            </w:r>
          </w:p>
          <w:p w14:paraId="3335B29D" w14:textId="77777777" w:rsidR="00D1173A" w:rsidRPr="00D1173A" w:rsidRDefault="00D1173A" w:rsidP="00D1173A">
            <w:pPr>
              <w:ind w:left="164" w:right="312"/>
              <w:jc w:val="both"/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  <w:u w:val="none"/>
                <w:lang w:eastAsia="it-IT"/>
              </w:rPr>
            </w:pPr>
            <w:r w:rsidRPr="00D1173A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>La licenza scade al 31 dicembre di ogni anno.</w:t>
            </w:r>
          </w:p>
          <w:p w14:paraId="2E120C86" w14:textId="77777777" w:rsidR="00D1173A" w:rsidRPr="00D1173A" w:rsidRDefault="00D1173A" w:rsidP="00D1173A">
            <w:pPr>
              <w:ind w:left="164" w:right="312"/>
              <w:jc w:val="both"/>
              <w:rPr>
                <w:b/>
                <w:bCs/>
                <w:i/>
                <w:iCs/>
                <w:color w:val="auto"/>
                <w:u w:val="none"/>
              </w:rPr>
            </w:pPr>
            <w:r w:rsidRPr="00D1173A">
              <w:rPr>
                <w:rFonts w:eastAsia="Times New Roman"/>
                <w:b/>
                <w:bCs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È obbligatoria la tenuta del “Registro delle operazioni giornaliere”, sul quale debbono essere annotate tutte le varie operazioni compiute nel corso della giornata. </w:t>
            </w:r>
          </w:p>
          <w:p w14:paraId="3F44FD60" w14:textId="77777777" w:rsidR="00BB2159" w:rsidRDefault="00BB2159" w:rsidP="00BB2159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4BF2FB6B" w14:textId="77777777" w:rsidR="00CB1B7A" w:rsidRPr="00E336B3" w:rsidRDefault="00CB1B7A" w:rsidP="00CB1B7A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E336B3">
              <w:rPr>
                <w:rStyle w:val="Collegamentoipertestuale"/>
                <w:b/>
                <w:color w:val="C00000"/>
                <w:u w:val="none"/>
              </w:rPr>
              <w:t xml:space="preserve">Requisiti aggiunti </w:t>
            </w:r>
          </w:p>
          <w:p w14:paraId="43A40319" w14:textId="445AC473" w:rsidR="00CB1B7A" w:rsidRDefault="00CB1B7A" w:rsidP="00CB1B7A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>
              <w:rPr>
                <w:color w:val="000000"/>
                <w:sz w:val="20"/>
                <w:szCs w:val="20"/>
                <w:u w:val="none"/>
              </w:rPr>
              <w:t xml:space="preserve">L’attività può essere esercitata in negozi di </w:t>
            </w:r>
            <w:hyperlink r:id="rId6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Vicinato</w:t>
              </w:r>
            </w:hyperlink>
            <w:r w:rsidRPr="00E336B3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– </w:t>
            </w:r>
            <w:hyperlink r:id="rId7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MSV</w:t>
              </w:r>
            </w:hyperlink>
            <w:r w:rsidRPr="00E336B3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– </w:t>
            </w:r>
            <w:hyperlink r:id="rId8" w:history="1">
              <w:r w:rsidRPr="00E336B3">
                <w:rPr>
                  <w:rStyle w:val="Collegamentoipertestuale"/>
                  <w:b/>
                  <w:bCs/>
                  <w:sz w:val="20"/>
                  <w:szCs w:val="20"/>
                </w:rPr>
                <w:t>GSV</w:t>
              </w:r>
            </w:hyperlink>
            <w:r w:rsidRPr="00E336B3">
              <w:rPr>
                <w:color w:val="0000FF"/>
                <w:sz w:val="20"/>
                <w:szCs w:val="20"/>
                <w:u w:val="none"/>
              </w:rPr>
              <w:t xml:space="preserve"> </w:t>
            </w:r>
            <w:r>
              <w:rPr>
                <w:color w:val="000000"/>
                <w:sz w:val="20"/>
                <w:szCs w:val="20"/>
                <w:u w:val="none"/>
              </w:rPr>
              <w:t>osservando i prescritti requisiti soggettivi, oggettivi e di programmazione, ai quali si aggiungono i seguenti:</w:t>
            </w:r>
          </w:p>
          <w:p w14:paraId="0617BE03" w14:textId="77777777" w:rsidR="00CB1B7A" w:rsidRPr="006A3E4F" w:rsidRDefault="00CB1B7A" w:rsidP="00CB1B7A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E336B3">
              <w:rPr>
                <w:b/>
                <w:bCs/>
                <w:i/>
                <w:iCs/>
                <w:color w:val="FF0000"/>
                <w:sz w:val="22"/>
                <w:szCs w:val="22"/>
                <w:u w:val="none"/>
              </w:rPr>
              <w:t>Onorabilità -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Oltre ai requisiti previsti per l'inizio delle attività di vendita al dettaglio, l'art. 11 e 43 del TULPS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prevedono anche i seguenti requisiti:</w:t>
            </w:r>
          </w:p>
          <w:p w14:paraId="57E12A18" w14:textId="77777777" w:rsidR="00CB1B7A" w:rsidRPr="006A3E4F" w:rsidRDefault="00CB1B7A" w:rsidP="00CB1B7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 xml:space="preserve">Art. </w:t>
            </w:r>
            <w:r w:rsidRPr="006A3E4F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 xml:space="preserve">11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- Salve le condizioni particolari stabilite dalla legge nei singoli casi, le autorizzazioni di polizia</w:t>
            </w:r>
          </w:p>
          <w:p w14:paraId="7418AC9D" w14:textId="77777777" w:rsidR="00CB1B7A" w:rsidRPr="006A3E4F" w:rsidRDefault="00CB1B7A" w:rsidP="00CB1B7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debbono essere negate:</w:t>
            </w:r>
          </w:p>
          <w:p w14:paraId="71A2F154" w14:textId="77777777" w:rsidR="00CB1B7A" w:rsidRPr="006A3E4F" w:rsidRDefault="00CB1B7A" w:rsidP="00CB1B7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• 1° a chi ha riportato una condanna a pena restrittiva della libertà personale superiore a tre anni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per delitto non colposo e non ha ottenuto la riabilitazione;</w:t>
            </w:r>
          </w:p>
          <w:p w14:paraId="13110BBE" w14:textId="77777777" w:rsidR="00CB1B7A" w:rsidRPr="006A3E4F" w:rsidRDefault="00CB1B7A" w:rsidP="00CB1B7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• 2° a chi è sottoposto all'ammonizione o a misura di sicurezza personale o è stato dichiarato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delinquente abituale, professionale o per tendenza.</w:t>
            </w:r>
          </w:p>
          <w:p w14:paraId="0FFC44FA" w14:textId="77777777" w:rsidR="00CB1B7A" w:rsidRPr="006A3E4F" w:rsidRDefault="00CB1B7A" w:rsidP="00CB1B7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Le autorizzazioni di polizia possono essere negate a chi ha riportato condanna per delitti contro la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personalità dello Stato o contro l'ordine pubblico, ovvero per delitti contro le persone commessi con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violenza, o per furto, rapina, estorsione, sequestro di persona a scopo di rapina o di estorsione, 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per violenza o resistenza all'autorità, e a chi non può provare la sua buona condotta.</w:t>
            </w:r>
          </w:p>
          <w:p w14:paraId="5BEEF333" w14:textId="77777777" w:rsidR="00CB1B7A" w:rsidRPr="006A3E4F" w:rsidRDefault="00CB1B7A" w:rsidP="00D85AFC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Le autorizzazioni devono essere revocate quando nella persona autorizzata vengono a mancare, in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tutto o in parte, le condizioni alle quali sono subordinate, e possono essere revocate quando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sopraggiungono o vengono a risultare circostanze che avrebbero imposto o consentito il diniego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della autorizzazione.</w:t>
            </w:r>
          </w:p>
          <w:p w14:paraId="3277F1E5" w14:textId="77777777" w:rsidR="00CB1B7A" w:rsidRPr="00BB2159" w:rsidRDefault="00CB1B7A" w:rsidP="00CB1B7A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E336B3">
              <w:rPr>
                <w:b/>
                <w:bCs/>
                <w:i/>
                <w:iCs/>
                <w:color w:val="C00000"/>
                <w:sz w:val="22"/>
                <w:szCs w:val="22"/>
                <w:u w:val="none"/>
              </w:rPr>
              <w:t>Professionali</w:t>
            </w:r>
            <w:r>
              <w:rPr>
                <w:b/>
                <w:bCs/>
                <w:i/>
                <w:iCs/>
                <w:color w:val="C00000"/>
                <w:sz w:val="22"/>
                <w:szCs w:val="22"/>
                <w:u w:val="none"/>
              </w:rPr>
              <w:t xml:space="preserve"> - </w:t>
            </w:r>
            <w:r w:rsidRPr="00BB2159">
              <w:rPr>
                <w:color w:val="000000"/>
                <w:sz w:val="20"/>
                <w:szCs w:val="20"/>
                <w:u w:val="none"/>
              </w:rPr>
              <w:t>Colui che richiede il rilascio della licenza per vendita esplosivi deve dimostrare la propria capacità tecnica,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BB2159">
              <w:rPr>
                <w:color w:val="000000"/>
                <w:sz w:val="20"/>
                <w:szCs w:val="20"/>
                <w:u w:val="none"/>
              </w:rPr>
              <w:t>sostenendo un esame al cospetto della Commissione Tecnica Provinciale; l’idoneità tecnica all’esercizio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BB2159">
              <w:rPr>
                <w:color w:val="000000"/>
                <w:sz w:val="20"/>
                <w:szCs w:val="20"/>
                <w:u w:val="none"/>
              </w:rPr>
              <w:t>dell’attività deve essere accertata anche in capo agli eventuali sostituti del titolare.</w:t>
            </w:r>
          </w:p>
          <w:p w14:paraId="3E87AE11" w14:textId="77777777" w:rsidR="00CB1B7A" w:rsidRPr="00BB2159" w:rsidRDefault="00CB1B7A" w:rsidP="00CB1B7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BB2159">
              <w:rPr>
                <w:color w:val="000000"/>
                <w:sz w:val="20"/>
                <w:szCs w:val="20"/>
                <w:u w:val="none"/>
              </w:rPr>
              <w:t>Colui al quale viene rilasciata la licenza è responsabile di tutto quello che avviene all’interno dei locali e di ogni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BB2159">
              <w:rPr>
                <w:color w:val="000000"/>
                <w:sz w:val="20"/>
                <w:szCs w:val="20"/>
                <w:u w:val="none"/>
              </w:rPr>
              <w:t>altra attività professionale esercitata in forza della licenza stessa; per tale motivo l’intestatario</w:t>
            </w:r>
          </w:p>
          <w:p w14:paraId="762D8DC7" w14:textId="77777777" w:rsidR="00CB1B7A" w:rsidRPr="00BB2159" w:rsidRDefault="00CB1B7A" w:rsidP="00CB1B7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BB2159">
              <w:rPr>
                <w:color w:val="000000"/>
                <w:sz w:val="20"/>
                <w:szCs w:val="20"/>
                <w:u w:val="none"/>
              </w:rPr>
              <w:t>dell’autorizzazione (o uno dei suoi sostituti indicati in calce nella licenza) deve sempre essere presente</w:t>
            </w:r>
          </w:p>
          <w:p w14:paraId="4CA4EFB2" w14:textId="1888A84B" w:rsidR="00CB1B7A" w:rsidRPr="00ED76DF" w:rsidRDefault="00CB1B7A" w:rsidP="00D85AFC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  <w:r w:rsidRPr="00BB2159">
              <w:rPr>
                <w:color w:val="000000"/>
                <w:sz w:val="20"/>
                <w:szCs w:val="20"/>
                <w:u w:val="none"/>
              </w:rPr>
              <w:t>all’interno dell’esercizio durante l’orario di attività e, in caso di controllo da parte dell’autorità di P.S., deve porsi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BB2159">
              <w:rPr>
                <w:color w:val="000000"/>
                <w:sz w:val="20"/>
                <w:szCs w:val="20"/>
                <w:u w:val="none"/>
              </w:rPr>
              <w:t xml:space="preserve">a disposizioni degli operatori. 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ED76DF"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begin"/>
            </w:r>
            <w:r w:rsidR="00ED76DF">
              <w:rPr>
                <w:rFonts w:eastAsia="Times New Roman"/>
                <w:b/>
                <w:sz w:val="20"/>
                <w:szCs w:val="20"/>
                <w:lang w:eastAsia="it-IT"/>
              </w:rPr>
              <w:instrText>HYPERLINK "Modulistica/10%20CF%20mod%2009%20esplosivi.pdf"</w:instrText>
            </w:r>
            <w:r w:rsidR="00ED76DF">
              <w:rPr>
                <w:rFonts w:eastAsia="Times New Roman"/>
                <w:b/>
                <w:sz w:val="20"/>
                <w:szCs w:val="20"/>
                <w:lang w:eastAsia="it-IT"/>
              </w:rPr>
            </w:r>
            <w:r w:rsidR="00ED76DF"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separate"/>
            </w:r>
            <w:r w:rsidRPr="00ED76DF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Richiesta capacità</w:t>
            </w:r>
            <w:r w:rsidRPr="00ED76DF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ED76DF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tec</w:t>
            </w:r>
            <w:r w:rsidRPr="00ED76DF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n</w:t>
            </w:r>
            <w:r w:rsidRPr="00ED76DF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ica d</w:t>
            </w:r>
            <w:r w:rsidRPr="00ED76DF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e</w:t>
            </w:r>
            <w:r w:rsidRPr="00ED76DF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po</w:t>
            </w:r>
            <w:r w:rsidRPr="00ED76DF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s</w:t>
            </w:r>
            <w:r w:rsidRPr="00ED76DF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ito e vendita esplosivi</w:t>
            </w:r>
          </w:p>
          <w:p w14:paraId="2FDA7C43" w14:textId="770EAA09" w:rsidR="00CB1B7A" w:rsidRPr="006A3E4F" w:rsidRDefault="00ED76DF" w:rsidP="00CB1B7A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end"/>
            </w:r>
            <w:r w:rsidR="00CB1B7A" w:rsidRPr="00D85AFC">
              <w:rPr>
                <w:rStyle w:val="Collegamentoipertestuale"/>
                <w:b/>
                <w:i/>
                <w:iCs/>
                <w:color w:val="C00000"/>
                <w:sz w:val="22"/>
                <w:szCs w:val="22"/>
                <w:u w:val="none"/>
              </w:rPr>
              <w:t>Oggettivi -</w:t>
            </w:r>
            <w:r w:rsidR="00CB1B7A" w:rsidRPr="00E336B3">
              <w:rPr>
                <w:rStyle w:val="Collegamentoipertestuale"/>
                <w:b/>
                <w:color w:val="C00000"/>
                <w:sz w:val="22"/>
                <w:szCs w:val="22"/>
                <w:u w:val="none"/>
              </w:rPr>
              <w:t xml:space="preserve"> </w:t>
            </w:r>
            <w:r w:rsidR="00CB1B7A" w:rsidRPr="006A3E4F">
              <w:rPr>
                <w:color w:val="000000"/>
                <w:sz w:val="20"/>
                <w:szCs w:val="20"/>
                <w:u w:val="none"/>
              </w:rPr>
              <w:t>Ferme le disposizioni relative all’insediamento dei negozi di Vicinato, Medie o Grandi Strutture di vendita,</w:t>
            </w:r>
            <w:r w:rsidR="00CB1B7A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CB1B7A" w:rsidRPr="006A3E4F">
              <w:rPr>
                <w:color w:val="000000"/>
                <w:sz w:val="20"/>
                <w:szCs w:val="20"/>
                <w:u w:val="none"/>
              </w:rPr>
              <w:t>l’esercizio della vendita di armi o esplosivi e altresì soggetta alle speciali norme di Pubblica Sicurezza e di</w:t>
            </w:r>
            <w:r w:rsidR="00CB1B7A"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="00CB1B7A" w:rsidRPr="006A3E4F">
              <w:rPr>
                <w:color w:val="000000"/>
                <w:sz w:val="20"/>
                <w:szCs w:val="20"/>
                <w:u w:val="none"/>
              </w:rPr>
              <w:t>Prevenzione incendi in relazione alla specifica detenzione di armi e materiale esplodente.</w:t>
            </w:r>
          </w:p>
          <w:p w14:paraId="547F23E4" w14:textId="77777777" w:rsidR="00CB1B7A" w:rsidRDefault="00CB1B7A" w:rsidP="00CB1B7A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6A3E4F">
              <w:rPr>
                <w:color w:val="000000"/>
                <w:sz w:val="20"/>
                <w:szCs w:val="20"/>
                <w:u w:val="none"/>
              </w:rPr>
              <w:t>In via generale va sottolineato che qualsiasi attività professionale che abbia come proprio oggetto le armi, le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munizioni e gli esplosivi, deve essere svolta all’interno di locali appositamente autorizzati, ovvero che siano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stati preventivamente giudicati idonei dalla Commissione Tecnica Provinciale, la cui esatta ubicazione deve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6A3E4F">
              <w:rPr>
                <w:color w:val="000000"/>
                <w:sz w:val="20"/>
                <w:szCs w:val="20"/>
                <w:u w:val="none"/>
              </w:rPr>
              <w:t>figurare nella licenza stessa.</w:t>
            </w:r>
          </w:p>
          <w:p w14:paraId="2637F65C" w14:textId="77777777" w:rsidR="00CB1B7A" w:rsidRDefault="00CB1B7A" w:rsidP="00741A71">
            <w:pPr>
              <w:spacing w:after="120"/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623F14AB" w14:textId="77777777" w:rsidR="00741A71" w:rsidRPr="006A3E4F" w:rsidRDefault="00741A71" w:rsidP="00741A71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</w:pPr>
          </w:p>
          <w:p w14:paraId="6DBC2588" w14:textId="77777777" w:rsidR="00741A71" w:rsidRDefault="00741A71" w:rsidP="003A4A32">
            <w:pPr>
              <w:spacing w:after="120"/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3058ED17" w14:textId="77777777" w:rsidR="00D85AFC" w:rsidRDefault="00D85AFC" w:rsidP="00D85AFC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61959409" w14:textId="58C59E5B" w:rsidR="00276654" w:rsidRPr="00CB1B7A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CB1B7A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425D0F00" w14:textId="10057717" w:rsidR="00D16E7F" w:rsidRPr="00D16E7F" w:rsidRDefault="00D85AFC" w:rsidP="00D16E7F">
            <w:pPr>
              <w:spacing w:after="120" w:line="270" w:lineRule="atLeast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85AFC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Avvio -</w:t>
            </w:r>
            <w:r w:rsidRPr="00D85AFC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="00D16E7F" w:rsidRPr="00D16E7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Unitamente alla </w:t>
            </w:r>
            <w:r w:rsidR="00D16E7F" w:rsidRPr="00D16E7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SCIA o </w:t>
            </w:r>
            <w:r w:rsidR="00D1173A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I</w:t>
            </w:r>
            <w:r w:rsidR="00D16E7F" w:rsidRPr="00D16E7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stanza</w:t>
            </w:r>
            <w:r w:rsidR="00D16E7F" w:rsidRPr="00D16E7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per attivare l’attività di vendita al dettaglio di esplosivi I, IV e V categoria, occorre presentare </w:t>
            </w:r>
            <w:r w:rsidR="00D16E7F" w:rsidRPr="00D16E7F">
              <w:rPr>
                <w:rFonts w:eastAsia="Times New Roman"/>
                <w:b/>
                <w:color w:val="C00000"/>
                <w:sz w:val="20"/>
                <w:szCs w:val="20"/>
                <w:u w:val="none"/>
                <w:lang w:eastAsia="it-IT"/>
              </w:rPr>
              <w:t>istanza alla Prefettura</w:t>
            </w:r>
            <w:r w:rsidR="00D16E7F" w:rsidRPr="00D16E7F">
              <w:rPr>
                <w:rFonts w:eastAsia="Times New Roman"/>
                <w:color w:val="C00000"/>
                <w:sz w:val="20"/>
                <w:szCs w:val="20"/>
                <w:u w:val="none"/>
                <w:lang w:eastAsia="it-IT"/>
              </w:rPr>
              <w:t xml:space="preserve"> </w:t>
            </w:r>
            <w:r w:rsidR="00D16E7F" w:rsidRPr="00D16E7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l’ottenimento della prescritta licenza di Polizia. L’istanza deve essere allegata alla SCIA Condizionata</w:t>
            </w:r>
            <w:r w:rsidR="00D1173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di vicinato o Istanza per MSV o GSV </w:t>
            </w:r>
            <w:r w:rsidR="00D16E7F" w:rsidRPr="00D16E7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che il SUAP inoltrerà alla Prefettura.</w:t>
            </w:r>
          </w:p>
          <w:p w14:paraId="114DFA5D" w14:textId="7D6451DC" w:rsidR="00741A71" w:rsidRPr="00DE69A3" w:rsidRDefault="00741A71" w:rsidP="00741A71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E69A3">
              <w:rPr>
                <w:color w:val="auto"/>
                <w:sz w:val="20"/>
                <w:szCs w:val="20"/>
                <w:u w:val="none"/>
              </w:rPr>
              <w:t>Ad accesso avvenuto, proced</w:t>
            </w:r>
            <w:r>
              <w:rPr>
                <w:color w:val="auto"/>
                <w:sz w:val="20"/>
                <w:szCs w:val="20"/>
                <w:u w:val="none"/>
              </w:rPr>
              <w:t>ere</w:t>
            </w:r>
            <w:r w:rsidRPr="00DE69A3">
              <w:rPr>
                <w:color w:val="auto"/>
                <w:sz w:val="20"/>
                <w:szCs w:val="20"/>
                <w:u w:val="none"/>
              </w:rPr>
              <w:t xml:space="preserve"> selezionando: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(Ateco da 45 a 47</w:t>
            </w:r>
            <w:proofErr w:type="gramStart"/>
            <w:r>
              <w:rPr>
                <w:b/>
                <w:color w:val="auto"/>
                <w:sz w:val="20"/>
                <w:szCs w:val="20"/>
                <w:u w:val="none"/>
              </w:rPr>
              <w:t xml:space="preserve">) 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 +</w:t>
            </w:r>
            <w:proofErr w:type="gramEnd"/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 Commercio al dettaglio in area privata + </w:t>
            </w:r>
          </w:p>
          <w:p w14:paraId="778A7542" w14:textId="77777777" w:rsidR="00741A71" w:rsidRDefault="00741A71" w:rsidP="00741A71">
            <w:pPr>
              <w:pStyle w:val="Paragrafoelenco"/>
              <w:numPr>
                <w:ilvl w:val="0"/>
                <w:numId w:val="8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DE69A3">
              <w:rPr>
                <w:b/>
                <w:color w:val="auto"/>
                <w:sz w:val="20"/>
                <w:szCs w:val="20"/>
                <w:u w:val="none"/>
              </w:rPr>
              <w:t>Esercizio di vicinato</w:t>
            </w:r>
          </w:p>
          <w:p w14:paraId="15C15D04" w14:textId="77777777" w:rsidR="00741A71" w:rsidRDefault="00741A71" w:rsidP="00741A71">
            <w:pPr>
              <w:pStyle w:val="Paragrafoelenco"/>
              <w:numPr>
                <w:ilvl w:val="0"/>
                <w:numId w:val="8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Media Struttura di Vendita</w:t>
            </w:r>
          </w:p>
          <w:p w14:paraId="361A15A1" w14:textId="77777777" w:rsidR="00741A71" w:rsidRPr="00DE69A3" w:rsidRDefault="00741A71" w:rsidP="00741A71">
            <w:pPr>
              <w:pStyle w:val="Paragrafoelenco"/>
              <w:numPr>
                <w:ilvl w:val="0"/>
                <w:numId w:val="8"/>
              </w:numPr>
              <w:ind w:left="589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Grande Struttura di vendita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4AAD977" w14:textId="75A9513F" w:rsidR="00D1173A" w:rsidRPr="008B7773" w:rsidRDefault="00741A71" w:rsidP="00D85AFC">
            <w:pPr>
              <w:spacing w:after="24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color w:val="auto"/>
                <w:sz w:val="20"/>
                <w:szCs w:val="20"/>
                <w:u w:val="none"/>
              </w:rPr>
              <w:t xml:space="preserve">Scegliere 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settore NON alimentare; </w:t>
            </w:r>
            <w:r>
              <w:rPr>
                <w:color w:val="auto"/>
                <w:sz w:val="20"/>
                <w:szCs w:val="20"/>
                <w:u w:val="none"/>
              </w:rPr>
              <w:t xml:space="preserve">digitare </w:t>
            </w:r>
            <w:r w:rsidRPr="00DE69A3">
              <w:rPr>
                <w:bCs/>
                <w:color w:val="auto"/>
                <w:sz w:val="20"/>
                <w:szCs w:val="20"/>
                <w:u w:val="none"/>
              </w:rPr>
              <w:t>conferma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DE69A3">
              <w:rPr>
                <w:b/>
                <w:color w:val="auto"/>
                <w:sz w:val="20"/>
                <w:szCs w:val="20"/>
                <w:u w:val="none"/>
              </w:rPr>
              <w:t>+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Aprire l’attività + </w:t>
            </w:r>
            <w:r w:rsidR="008B7773">
              <w:rPr>
                <w:b/>
                <w:sz w:val="20"/>
                <w:szCs w:val="20"/>
              </w:rPr>
              <w:fldChar w:fldCharType="begin"/>
            </w:r>
            <w:r w:rsidR="008B7773">
              <w:rPr>
                <w:b/>
                <w:sz w:val="20"/>
                <w:szCs w:val="20"/>
              </w:rPr>
              <w:instrText xml:space="preserve"> HYPERLINK "Modulistica/5CF%20mod11%20esplosivi.pdf" </w:instrText>
            </w:r>
            <w:r w:rsidR="008B7773">
              <w:rPr>
                <w:b/>
                <w:sz w:val="20"/>
                <w:szCs w:val="20"/>
              </w:rPr>
              <w:fldChar w:fldCharType="separate"/>
            </w:r>
            <w:r w:rsidR="002447EB" w:rsidRPr="008B7773">
              <w:rPr>
                <w:rStyle w:val="Collegamentoipertestuale"/>
                <w:b/>
                <w:sz w:val="20"/>
                <w:szCs w:val="20"/>
              </w:rPr>
              <w:t>I</w:t>
            </w:r>
            <w:r w:rsidR="002447EB" w:rsidRPr="008B7773">
              <w:rPr>
                <w:rStyle w:val="Collegamentoipertestuale"/>
                <w:b/>
                <w:sz w:val="18"/>
                <w:szCs w:val="18"/>
              </w:rPr>
              <w:t>stanza alla Pre</w:t>
            </w:r>
            <w:r w:rsidR="002447EB" w:rsidRPr="008B7773">
              <w:rPr>
                <w:rStyle w:val="Collegamentoipertestuale"/>
                <w:b/>
                <w:sz w:val="18"/>
                <w:szCs w:val="18"/>
              </w:rPr>
              <w:t>f</w:t>
            </w:r>
            <w:r w:rsidR="002447EB" w:rsidRPr="008B7773">
              <w:rPr>
                <w:rStyle w:val="Collegamentoipertestuale"/>
                <w:b/>
                <w:sz w:val="18"/>
                <w:szCs w:val="18"/>
              </w:rPr>
              <w:t>ettura</w:t>
            </w:r>
          </w:p>
          <w:p w14:paraId="4C54DF60" w14:textId="7CA0CE6B" w:rsidR="00741A71" w:rsidRDefault="008B7773" w:rsidP="00D85AFC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741A71" w:rsidRPr="00D85AFC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D85AF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r w:rsidR="00741A71"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 w:rsidR="00741A7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="00741A71" w:rsidRPr="00C517D5">
              <w:rPr>
                <w:color w:val="auto"/>
                <w:sz w:val="20"/>
                <w:szCs w:val="20"/>
                <w:u w:val="none"/>
              </w:rPr>
              <w:t xml:space="preserve">inoltrare mediante lo sportello telematico </w:t>
            </w:r>
            <w:hyperlink r:id="rId9" w:history="1">
              <w:r w:rsidR="00741A71" w:rsidRPr="00C517D5">
                <w:rPr>
                  <w:rStyle w:val="Collegamentoipertestuale"/>
                  <w:b/>
                  <w:sz w:val="20"/>
                  <w:szCs w:val="20"/>
                </w:rPr>
                <w:t>Impresainungiorno.gov.it</w:t>
              </w:r>
              <w:r w:rsidR="00741A71">
                <w:rPr>
                  <w:rStyle w:val="Collegamentoipertestuale"/>
                  <w:b/>
                  <w:sz w:val="20"/>
                  <w:szCs w:val="20"/>
                  <w:u w:val="none"/>
                </w:rPr>
                <w:t>,</w:t>
              </w:r>
            </w:hyperlink>
            <w:r w:rsidR="00741A71" w:rsidRPr="00DA3FB9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  <w:r w:rsidR="00741A71"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 w:rsidR="00741A7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6F0A530B" w14:textId="77777777" w:rsidR="00741A71" w:rsidRDefault="00741A71" w:rsidP="00D85AFC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6DE5468F" w14:textId="5F3E136D" w:rsidR="00741A71" w:rsidRDefault="00741A71" w:rsidP="00741A71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85AFC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D85AFC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0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0FD0E12D" w14:textId="77777777" w:rsidR="00741A71" w:rsidRDefault="00741A71" w:rsidP="00741A71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5B5B2D53" w14:textId="77777777" w:rsidR="00741A71" w:rsidRDefault="00741A71" w:rsidP="00741A71">
            <w:pPr>
              <w:ind w:left="164" w:right="312"/>
              <w:jc w:val="both"/>
              <w:rPr>
                <w:rFonts w:eastAsia="Times New Roman"/>
                <w:i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74F0D435" w14:textId="3C516E1D" w:rsidR="004A29C4" w:rsidRDefault="00ED76DF" w:rsidP="004A29C4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1" w:history="1">
              <w:r w:rsidR="004A29C4">
                <w:rPr>
                  <w:rStyle w:val="Collegamentoipertestuale"/>
                  <w:b/>
                  <w:bCs/>
                </w:rPr>
                <w:t>Alleg</w:t>
              </w:r>
              <w:r w:rsidR="004A29C4">
                <w:rPr>
                  <w:rStyle w:val="Collegamentoipertestuale"/>
                  <w:b/>
                  <w:bCs/>
                </w:rPr>
                <w:t>a</w:t>
              </w:r>
              <w:r w:rsidR="004A29C4">
                <w:rPr>
                  <w:rStyle w:val="Collegamentoipertestuale"/>
                  <w:b/>
                  <w:bCs/>
                </w:rPr>
                <w:t>ti</w:t>
              </w:r>
            </w:hyperlink>
            <w:r w:rsidR="004A29C4">
              <w:rPr>
                <w:rStyle w:val="Collegamentoipertestuale"/>
                <w:b/>
                <w:bCs/>
                <w:color w:val="C00000"/>
                <w:u w:val="none"/>
              </w:rPr>
              <w:t xml:space="preserve"> </w:t>
            </w:r>
            <w:r w:rsidR="004A29C4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4A29C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 allegati da aggiungere alla SCIA Unica e altri correlati alla Pubblicità, Occupazione suolo pubblico, TARI.</w:t>
            </w:r>
          </w:p>
          <w:p w14:paraId="5027B37C" w14:textId="77777777" w:rsidR="004A29C4" w:rsidRDefault="004A29C4" w:rsidP="004A29C4">
            <w:pPr>
              <w:ind w:left="164" w:right="312"/>
              <w:jc w:val="both"/>
            </w:pPr>
          </w:p>
          <w:p w14:paraId="5EAE5152" w14:textId="3B694277" w:rsidR="00FD2449" w:rsidRDefault="00ED76DF" w:rsidP="00FD2449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hyperlink r:id="rId12" w:history="1">
              <w:r w:rsidR="00FD2449">
                <w:rPr>
                  <w:rStyle w:val="Collegamentoipertestuale"/>
                  <w:b/>
                  <w:bCs/>
                </w:rPr>
                <w:t>O</w:t>
              </w:r>
              <w:r w:rsidR="00FD2449">
                <w:rPr>
                  <w:rStyle w:val="Collegamentoipertestuale"/>
                  <w:b/>
                </w:rPr>
                <w:t xml:space="preserve">neri </w:t>
              </w:r>
              <w:r w:rsidR="00FD2449">
                <w:rPr>
                  <w:rStyle w:val="Collegamentoipertestuale"/>
                  <w:b/>
                  <w:bCs/>
                </w:rPr>
                <w:t>istr</w:t>
              </w:r>
              <w:r w:rsidR="00FD2449">
                <w:rPr>
                  <w:rStyle w:val="Collegamentoipertestuale"/>
                  <w:b/>
                  <w:bCs/>
                </w:rPr>
                <w:t>u</w:t>
              </w:r>
              <w:r w:rsidR="00FD2449">
                <w:rPr>
                  <w:rStyle w:val="Collegamentoipertestuale"/>
                  <w:b/>
                  <w:bCs/>
                </w:rPr>
                <w:t>ttori</w:t>
              </w:r>
            </w:hyperlink>
          </w:p>
          <w:p w14:paraId="60729439" w14:textId="77777777" w:rsidR="00FD2449" w:rsidRPr="00FD2449" w:rsidRDefault="00FD2449" w:rsidP="008B7773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FD2449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D2449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>.</w:t>
            </w:r>
          </w:p>
          <w:p w14:paraId="532A5EFE" w14:textId="12804A47" w:rsidR="00741A71" w:rsidRPr="00744B7C" w:rsidRDefault="00741A71" w:rsidP="00741A71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1B8B1EF3" w14:textId="77777777" w:rsidR="00741A71" w:rsidRPr="00DA3FB9" w:rsidRDefault="00ED76DF" w:rsidP="00741A71">
            <w:pPr>
              <w:pStyle w:val="Paragrafoelenco"/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hyperlink r:id="rId13" w:history="1">
              <w:r w:rsidR="00741A71" w:rsidRPr="00DA3FB9">
                <w:rPr>
                  <w:rStyle w:val="Collegamentoipertestuale"/>
                  <w:b/>
                  <w:color w:val="C00000"/>
                  <w:u w:val="none"/>
                </w:rPr>
                <w:t>Tempistica</w:t>
              </w:r>
            </w:hyperlink>
          </w:p>
          <w:p w14:paraId="7A9213C0" w14:textId="77777777" w:rsidR="009123B2" w:rsidRPr="009123B2" w:rsidRDefault="009123B2" w:rsidP="009123B2">
            <w:pPr>
              <w:spacing w:line="270" w:lineRule="atLeast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9123B2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L’attività di vendita di esplosivi può essere iniziata solo dopo l’ottenimento della licenza da parte della Prefettura.</w:t>
            </w:r>
          </w:p>
          <w:p w14:paraId="59F10963" w14:textId="77777777" w:rsidR="009123B2" w:rsidRDefault="009123B2" w:rsidP="00741A71">
            <w:pPr>
              <w:ind w:left="164" w:right="312"/>
              <w:jc w:val="both"/>
            </w:pPr>
          </w:p>
          <w:p w14:paraId="35683C51" w14:textId="3F23D330" w:rsidR="00741A71" w:rsidRPr="00744B7C" w:rsidRDefault="00ED76DF" w:rsidP="00741A71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4" w:history="1">
              <w:r w:rsidR="00741A71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</w:t>
              </w:r>
              <w:r w:rsidR="00741A71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E</w:t>
              </w:r>
              <w:r w:rsidR="00741A71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 </w:t>
              </w:r>
            </w:hyperlink>
            <w:r w:rsidR="00741A71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741A71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7ADEB46F" w14:textId="77777777" w:rsidR="00741A71" w:rsidRDefault="00741A71" w:rsidP="00741A71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540D5D7D" w14:textId="1B8A17D2" w:rsidR="00FA1F05" w:rsidRPr="00945B26" w:rsidRDefault="00ED76DF" w:rsidP="00FA1F05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5" w:history="1">
              <w:r w:rsidR="00741A71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741A71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741A71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741A71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6" w:history="1">
              <w:r w:rsidR="00FD141B">
                <w:rPr>
                  <w:rStyle w:val="Collegamentoipertestuale"/>
                  <w:b/>
                  <w:sz w:val="20"/>
                  <w:szCs w:val="20"/>
                </w:rPr>
                <w:t>TUR pa</w:t>
              </w:r>
              <w:r w:rsidR="00FD141B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="00FD141B">
                <w:rPr>
                  <w:rStyle w:val="Collegamentoipertestuale"/>
                  <w:b/>
                  <w:sz w:val="20"/>
                  <w:szCs w:val="20"/>
                </w:rPr>
                <w:t>te 2^</w:t>
              </w:r>
            </w:hyperlink>
            <w:r w:rsidR="00FD141B">
              <w:rPr>
                <w:color w:val="0000FF"/>
                <w:sz w:val="20"/>
                <w:szCs w:val="20"/>
              </w:rPr>
              <w:t xml:space="preserve"> </w:t>
            </w:r>
            <w:r w:rsidR="00FD141B">
              <w:rPr>
                <w:sz w:val="20"/>
                <w:szCs w:val="20"/>
              </w:rPr>
              <w:t>-</w:t>
            </w:r>
            <w:r w:rsidR="00FA1F05" w:rsidRPr="00945B26">
              <w:rPr>
                <w:color w:val="auto"/>
                <w:sz w:val="20"/>
                <w:szCs w:val="20"/>
                <w:u w:val="none"/>
              </w:rPr>
              <w:t xml:space="preserve"> Commercio in sede fissa.</w:t>
            </w:r>
          </w:p>
          <w:p w14:paraId="2608A0E8" w14:textId="77777777" w:rsidR="00FA1F05" w:rsidRDefault="00FA1F05" w:rsidP="009123B2">
            <w:pPr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2653511E" w14:textId="1E6FFB4A" w:rsidR="00276654" w:rsidRDefault="00741A71" w:rsidP="009123B2">
            <w:pPr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>
              <w:rPr>
                <w:b/>
                <w:color w:val="C00000"/>
                <w:u w:val="none"/>
              </w:rPr>
              <w:t xml:space="preserve"> </w:t>
            </w:r>
          </w:p>
          <w:p w14:paraId="0901B250" w14:textId="5DE14650" w:rsidR="009123B2" w:rsidRPr="0041512A" w:rsidRDefault="009123B2" w:rsidP="009123B2">
            <w:pPr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3F094585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45290260"/>
    <w:multiLevelType w:val="hybridMultilevel"/>
    <w:tmpl w:val="A5B20628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47DB694A"/>
    <w:multiLevelType w:val="hybridMultilevel"/>
    <w:tmpl w:val="530C565C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865C5"/>
    <w:rsid w:val="000E4B7E"/>
    <w:rsid w:val="000F715A"/>
    <w:rsid w:val="00112873"/>
    <w:rsid w:val="00117F1E"/>
    <w:rsid w:val="002210DE"/>
    <w:rsid w:val="0023487B"/>
    <w:rsid w:val="002447EB"/>
    <w:rsid w:val="00276654"/>
    <w:rsid w:val="002A5D7C"/>
    <w:rsid w:val="002A6285"/>
    <w:rsid w:val="002B375D"/>
    <w:rsid w:val="002C2EEA"/>
    <w:rsid w:val="002E3051"/>
    <w:rsid w:val="00342D58"/>
    <w:rsid w:val="003829B8"/>
    <w:rsid w:val="00396AF3"/>
    <w:rsid w:val="003A03A4"/>
    <w:rsid w:val="003A4A32"/>
    <w:rsid w:val="003C5FBA"/>
    <w:rsid w:val="0041512A"/>
    <w:rsid w:val="004257E1"/>
    <w:rsid w:val="0043775F"/>
    <w:rsid w:val="0044342C"/>
    <w:rsid w:val="004442C5"/>
    <w:rsid w:val="0045341A"/>
    <w:rsid w:val="004704B5"/>
    <w:rsid w:val="00493BD0"/>
    <w:rsid w:val="004A29C4"/>
    <w:rsid w:val="004B4F49"/>
    <w:rsid w:val="004F3CF0"/>
    <w:rsid w:val="004F59C5"/>
    <w:rsid w:val="00506E58"/>
    <w:rsid w:val="005930C1"/>
    <w:rsid w:val="005C2EDB"/>
    <w:rsid w:val="005C68B2"/>
    <w:rsid w:val="005C720B"/>
    <w:rsid w:val="005D082F"/>
    <w:rsid w:val="00621A5C"/>
    <w:rsid w:val="00651378"/>
    <w:rsid w:val="00692827"/>
    <w:rsid w:val="006A3E4F"/>
    <w:rsid w:val="006B29D2"/>
    <w:rsid w:val="006B3A13"/>
    <w:rsid w:val="006C7151"/>
    <w:rsid w:val="00737DA2"/>
    <w:rsid w:val="00741A71"/>
    <w:rsid w:val="007B5F7E"/>
    <w:rsid w:val="0082478D"/>
    <w:rsid w:val="008678D8"/>
    <w:rsid w:val="00897F79"/>
    <w:rsid w:val="008B34A1"/>
    <w:rsid w:val="008B7773"/>
    <w:rsid w:val="0090505B"/>
    <w:rsid w:val="009123B2"/>
    <w:rsid w:val="00945B26"/>
    <w:rsid w:val="009A0C2A"/>
    <w:rsid w:val="009A4645"/>
    <w:rsid w:val="009C33A4"/>
    <w:rsid w:val="00A06B50"/>
    <w:rsid w:val="00B0731C"/>
    <w:rsid w:val="00B66F7C"/>
    <w:rsid w:val="00BB2159"/>
    <w:rsid w:val="00BF42AE"/>
    <w:rsid w:val="00C75D34"/>
    <w:rsid w:val="00CB1B7A"/>
    <w:rsid w:val="00CC7B25"/>
    <w:rsid w:val="00CD592E"/>
    <w:rsid w:val="00D1173A"/>
    <w:rsid w:val="00D16B5E"/>
    <w:rsid w:val="00D16E7F"/>
    <w:rsid w:val="00D85AFC"/>
    <w:rsid w:val="00D95E05"/>
    <w:rsid w:val="00DC5DC3"/>
    <w:rsid w:val="00DF0435"/>
    <w:rsid w:val="00E25843"/>
    <w:rsid w:val="00E30A1A"/>
    <w:rsid w:val="00E660BB"/>
    <w:rsid w:val="00ED76DF"/>
    <w:rsid w:val="00EE371A"/>
    <w:rsid w:val="00F312D0"/>
    <w:rsid w:val="00F33A15"/>
    <w:rsid w:val="00F7626F"/>
    <w:rsid w:val="00FA1F05"/>
    <w:rsid w:val="00FD141B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938F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F04%20Grandi%20strutture%20di%20vendita.docx" TargetMode="External"/><Relationship Id="rId13" Type="http://schemas.openxmlformats.org/officeDocument/2006/relationships/hyperlink" Target="../Definizioni/Tempistica%20SCI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F03%20Media%20struttura%20di%20vendita.docx" TargetMode="External"/><Relationship Id="rId12" Type="http://schemas.openxmlformats.org/officeDocument/2006/relationships/hyperlink" Target="Definizioni/20%20CF%20Tariffe%20commercio%20fisso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TUR\Parte%202%5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CF01%20Negozi%20di%20vicinato.docx" TargetMode="External"/><Relationship Id="rId11" Type="http://schemas.openxmlformats.org/officeDocument/2006/relationships/hyperlink" Target="Definizioni/14%20CF%20Allegati.docx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../Definizioni/Riferimenti%20normativi%20e%20di%20controllo.docx" TargetMode="External"/><Relationship Id="rId10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resainungiorno.gov.it/web/guest/comune?codCatastale=L581" TargetMode="External"/><Relationship Id="rId14" Type="http://schemas.openxmlformats.org/officeDocument/2006/relationships/hyperlink" Target="../../ATECO/Ateco%20Commercio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45</cp:revision>
  <dcterms:created xsi:type="dcterms:W3CDTF">2018-07-20T19:33:00Z</dcterms:created>
  <dcterms:modified xsi:type="dcterms:W3CDTF">2021-04-24T14:47:00Z</dcterms:modified>
</cp:coreProperties>
</file>